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45B43BD1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2C40AE">
        <w:rPr>
          <w:rFonts w:cs="Arial"/>
          <w:b/>
          <w:color w:val="auto"/>
        </w:rPr>
        <w:t>Invisivent</w:t>
      </w:r>
      <w:r w:rsidRPr="002C40AE">
        <w:rPr>
          <w:rFonts w:cs="Arial"/>
          <w:b/>
          <w:color w:val="auto"/>
          <w:vertAlign w:val="superscript"/>
        </w:rPr>
        <w:t xml:space="preserve">® </w:t>
      </w:r>
      <w:r w:rsidRPr="002C40AE">
        <w:rPr>
          <w:rFonts w:cs="Arial"/>
          <w:b/>
          <w:color w:val="auto"/>
        </w:rPr>
        <w:t xml:space="preserve"> COMFORT </w:t>
      </w:r>
      <w:r w:rsidR="00CF1164">
        <w:rPr>
          <w:rFonts w:cs="Arial"/>
          <w:b/>
          <w:color w:val="auto"/>
        </w:rPr>
        <w:t xml:space="preserve">HR </w:t>
      </w:r>
      <w:r w:rsidRPr="002C40AE">
        <w:rPr>
          <w:rFonts w:cs="Arial"/>
          <w:b/>
          <w:color w:val="auto"/>
        </w:rPr>
        <w:t>Basic</w:t>
      </w:r>
    </w:p>
    <w:p w14:paraId="3382B891" w14:textId="77777777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1C91BBE8" w:rsidR="001E17AF" w:rsidRPr="002C40AE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2C40AE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</w:t>
      </w:r>
      <w:r w:rsidR="005D4848">
        <w:rPr>
          <w:rFonts w:cs="Arial"/>
          <w:caps w:val="0"/>
          <w:color w:val="auto"/>
          <w:sz w:val="16"/>
          <w:szCs w:val="16"/>
        </w:rPr>
        <w:t>que</w:t>
      </w:r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070B2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5D4848">
        <w:rPr>
          <w:rFonts w:cs="Arial"/>
          <w:b/>
          <w:sz w:val="19"/>
          <w:szCs w:val="19"/>
        </w:rPr>
        <w:t>Confort acoustique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23B2F4A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avec fonction anti-retour 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4BC726BF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>10</w:t>
      </w: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562FF581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Fonction anti-retour </w:t>
      </w:r>
      <w:r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>: évite la ventilation transversale et les pertes d’énergi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 et de confort qui s’ensuivent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3E36B332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38559FB" w14:textId="77777777" w:rsidR="00220651" w:rsidRDefault="00220651" w:rsidP="00220651">
      <w:pPr>
        <w:pStyle w:val="besteksubtitel"/>
        <w:ind w:left="426"/>
        <w:rPr>
          <w:rFonts w:ascii="Arial" w:hAnsi="Arial" w:cs="Arial"/>
          <w:sz w:val="19"/>
          <w:szCs w:val="19"/>
          <w:lang w:val="fr-FR"/>
        </w:rPr>
      </w:pPr>
    </w:p>
    <w:p w14:paraId="390108CB" w14:textId="3DD9E3B3" w:rsidR="00220651" w:rsidRPr="00220651" w:rsidRDefault="0021372A" w:rsidP="00220651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</w:t>
      </w:r>
      <w:r w:rsidR="00CF1164" w:rsidRPr="00220651">
        <w:rPr>
          <w:rFonts w:cs="Arial"/>
          <w:sz w:val="19"/>
          <w:szCs w:val="19"/>
          <w:lang w:val="fr-FR"/>
        </w:rPr>
        <w:t>(16</w:t>
      </w:r>
      <w:r w:rsidRPr="00220651">
        <w:rPr>
          <w:rFonts w:cs="Arial"/>
          <w:sz w:val="19"/>
          <w:szCs w:val="19"/>
          <w:lang w:val="fr-FR"/>
        </w:rPr>
        <w:t xml:space="preserve"> positions</w:t>
      </w:r>
      <w:r w:rsidR="00CF1164" w:rsidRPr="00220651">
        <w:rPr>
          <w:rFonts w:cs="Arial"/>
          <w:sz w:val="19"/>
          <w:szCs w:val="19"/>
          <w:lang w:val="fr-FR"/>
        </w:rPr>
        <w:t>)</w:t>
      </w:r>
      <w:r w:rsidR="00220651" w:rsidRPr="00220651">
        <w:rPr>
          <w:rFonts w:cs="Arial"/>
          <w:sz w:val="19"/>
          <w:szCs w:val="19"/>
          <w:lang w:val="fr-FR"/>
        </w:rPr>
        <w:t xml:space="preserve"> </w:t>
      </w:r>
      <w:r w:rsidR="00220651" w:rsidRPr="00B627DE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220651">
        <w:rPr>
          <w:rFonts w:cs="Arial"/>
          <w:b/>
          <w:sz w:val="19"/>
          <w:szCs w:val="19"/>
          <w:lang w:val="fr-FR"/>
        </w:rPr>
        <w:t>,</w:t>
      </w:r>
      <w:r w:rsidR="00220651">
        <w:rPr>
          <w:rFonts w:cs="Arial"/>
          <w:caps/>
          <w:sz w:val="19"/>
          <w:szCs w:val="19"/>
          <w:lang w:val="fr-FR"/>
        </w:rPr>
        <w:t xml:space="preserve"> </w:t>
      </w:r>
      <w:r w:rsidR="00220651" w:rsidRPr="00220651">
        <w:rPr>
          <w:rFonts w:cs="Arial"/>
          <w:sz w:val="19"/>
          <w:szCs w:val="19"/>
          <w:lang w:val="fr-FR"/>
        </w:rPr>
        <w:t>selon la proportion 70/30 (et en 3 parties pour des longueurs &gt; 3000mm)</w:t>
      </w:r>
    </w:p>
    <w:p w14:paraId="26DAE109" w14:textId="77777777" w:rsidR="00220651" w:rsidRDefault="00220651" w:rsidP="00220651">
      <w:pPr>
        <w:pStyle w:val="Lijstalinea"/>
        <w:rPr>
          <w:rFonts w:cs="Arial"/>
          <w:caps/>
          <w:sz w:val="19"/>
          <w:szCs w:val="19"/>
          <w:lang w:val="fr-FR"/>
        </w:rPr>
      </w:pPr>
    </w:p>
    <w:p w14:paraId="63E455D8" w14:textId="78A5DCAA" w:rsidR="00220651" w:rsidRPr="00B627DE" w:rsidRDefault="00220651" w:rsidP="0022065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pour garantir une fermeture parfaite du clapet intérieur pour des charges de vent </w:t>
      </w:r>
      <w:r w:rsidRPr="00B627DE">
        <w:rPr>
          <w:rFonts w:cs="Arial"/>
          <w:b w:val="0"/>
          <w:caps w:val="0"/>
          <w:lang w:val="fr-FR"/>
        </w:rPr>
        <w:t>en position fermée.</w:t>
      </w:r>
    </w:p>
    <w:p w14:paraId="168D1A4D" w14:textId="4E32A66C" w:rsidR="00220651" w:rsidRPr="00220651" w:rsidRDefault="00220651" w:rsidP="00220651">
      <w:pPr>
        <w:rPr>
          <w:rFonts w:cs="Arial"/>
          <w:caps/>
          <w:sz w:val="19"/>
          <w:szCs w:val="19"/>
          <w:lang w:val="fr-FR"/>
        </w:rPr>
      </w:pP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362BB7D1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</w:t>
      </w:r>
      <w:r w:rsidR="0022065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mm)</w:t>
      </w:r>
    </w:p>
    <w:p w14:paraId="6A43EE8D" w14:textId="2EB18B11" w:rsidR="00220651" w:rsidRDefault="00220651" w:rsidP="0022065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Commande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Finition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77777777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48475683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="00547F3D">
        <w:rPr>
          <w:rFonts w:cs="Arial"/>
          <w:sz w:val="19"/>
          <w:szCs w:val="19"/>
          <w:lang w:val="fr-FR"/>
        </w:rPr>
        <w:t>: 66,5</w:t>
      </w:r>
      <w:bookmarkStart w:id="0" w:name="_GoBack"/>
      <w:bookmarkEnd w:id="0"/>
      <w:r w:rsidRPr="005D4848">
        <w:rPr>
          <w:rFonts w:cs="Arial"/>
          <w:sz w:val="19"/>
          <w:szCs w:val="19"/>
          <w:lang w:val="fr-FR"/>
        </w:rPr>
        <w:t xml:space="preserve"> mm </w:t>
      </w:r>
      <w:r w:rsidR="0021372A">
        <w:rPr>
          <w:rFonts w:cs="Arial"/>
          <w:sz w:val="19"/>
          <w:szCs w:val="19"/>
          <w:lang w:val="fr-FR"/>
        </w:rPr>
        <w:t>/ ouverture extérieure visible: 3</w:t>
      </w:r>
      <w:r w:rsidR="00220651">
        <w:rPr>
          <w:rFonts w:cs="Arial"/>
          <w:sz w:val="19"/>
          <w:szCs w:val="19"/>
          <w:lang w:val="fr-FR"/>
        </w:rPr>
        <w:t>7</w:t>
      </w:r>
      <w:r w:rsidR="0021372A">
        <w:rPr>
          <w:rFonts w:cs="Arial"/>
          <w:sz w:val="19"/>
          <w:szCs w:val="19"/>
          <w:lang w:val="fr-FR"/>
        </w:rPr>
        <w:t xml:space="preserve">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52F631D2" w:rsidR="0045276E" w:rsidRPr="00220651" w:rsidRDefault="00220651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fr-FR"/>
        </w:rPr>
      </w:pPr>
      <w:r w:rsidRPr="00334AF1">
        <w:rPr>
          <w:rFonts w:cs="Arial"/>
          <w:sz w:val="19"/>
          <w:szCs w:val="19"/>
          <w:lang w:val="fr-FR"/>
        </w:rPr>
        <w:t>Étancheité à l’eau optimal</w:t>
      </w:r>
      <w:r w:rsidR="00334AF1" w:rsidRPr="00334AF1">
        <w:rPr>
          <w:rFonts w:cs="Arial"/>
          <w:sz w:val="19"/>
          <w:szCs w:val="19"/>
          <w:lang w:val="fr-FR"/>
        </w:rPr>
        <w:t>e</w:t>
      </w:r>
      <w:r w:rsidRPr="00334AF1">
        <w:rPr>
          <w:rFonts w:cs="Arial"/>
          <w:sz w:val="19"/>
          <w:szCs w:val="19"/>
          <w:lang w:val="fr-FR"/>
        </w:rPr>
        <w:t xml:space="preserve"> jusquà 1200 Pa (en position fermée)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Pr="00220651">
        <w:rPr>
          <w:rFonts w:cs="Arial"/>
          <w:sz w:val="19"/>
          <w:szCs w:val="19"/>
          <w:lang w:val="fr-FR"/>
        </w:rPr>
        <w:t>grâce au</w:t>
      </w:r>
      <w:r>
        <w:rPr>
          <w:rFonts w:cs="Arial"/>
          <w:b/>
          <w:sz w:val="19"/>
          <w:szCs w:val="19"/>
          <w:lang w:val="fr-FR"/>
        </w:rPr>
        <w:t xml:space="preserve"> c</w:t>
      </w:r>
      <w:r w:rsidR="0045276E" w:rsidRPr="00220651">
        <w:rPr>
          <w:rFonts w:cs="Arial"/>
          <w:b/>
          <w:sz w:val="19"/>
          <w:szCs w:val="19"/>
          <w:lang w:val="fr-FR"/>
        </w:rPr>
        <w:t>apot extérieur design</w:t>
      </w:r>
      <w:r w:rsidR="0045276E" w:rsidRPr="00220651">
        <w:rPr>
          <w:rFonts w:cs="Arial"/>
          <w:sz w:val="19"/>
          <w:szCs w:val="19"/>
          <w:lang w:val="fr-FR"/>
        </w:rPr>
        <w:t xml:space="preserve"> </w:t>
      </w:r>
    </w:p>
    <w:p w14:paraId="28C945A2" w14:textId="77777777" w:rsidR="002814C5" w:rsidRPr="00220651" w:rsidRDefault="002814C5" w:rsidP="002814C5">
      <w:pPr>
        <w:pStyle w:val="besteksubtitel"/>
        <w:ind w:left="786"/>
        <w:rPr>
          <w:rFonts w:cs="Arial"/>
          <w:sz w:val="19"/>
          <w:szCs w:val="19"/>
          <w:lang w:val="fr-FR"/>
        </w:rPr>
      </w:pPr>
    </w:p>
    <w:p w14:paraId="17F3D76F" w14:textId="74AFFE4E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l’aérateur, y compris les embou</w:t>
      </w:r>
      <w:r w:rsidR="0053502B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ts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coeur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Rainure Euronut</w:t>
      </w:r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lastRenderedPageBreak/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33FC47DA" w14:textId="69D69342" w:rsidR="0045276E" w:rsidRPr="0021372A" w:rsidRDefault="00E33328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>Sera i</w:t>
      </w:r>
      <w:r w:rsidR="0045276E" w:rsidRPr="0045276E">
        <w:rPr>
          <w:rFonts w:cs="Arial"/>
          <w:sz w:val="19"/>
          <w:szCs w:val="19"/>
          <w:lang w:val="fr-FR"/>
        </w:rPr>
        <w:t>ntégr</w:t>
      </w:r>
      <w:r w:rsidR="00C97EC5">
        <w:rPr>
          <w:rFonts w:cs="Arial"/>
          <w:sz w:val="19"/>
          <w:szCs w:val="19"/>
          <w:lang w:val="fr-FR"/>
        </w:rPr>
        <w:t>é</w:t>
      </w:r>
      <w:r w:rsidR="0045276E" w:rsidRPr="0045276E">
        <w:rPr>
          <w:rFonts w:cs="Arial"/>
          <w:sz w:val="19"/>
          <w:szCs w:val="19"/>
          <w:lang w:val="fr-FR"/>
        </w:rPr>
        <w:t xml:space="preserve"> dans la banque de données des produits </w:t>
      </w:r>
      <w:r w:rsidR="0045276E" w:rsidRPr="0045276E">
        <w:rPr>
          <w:rFonts w:cs="Arial"/>
          <w:b/>
          <w:sz w:val="19"/>
          <w:szCs w:val="19"/>
          <w:lang w:val="fr-FR"/>
        </w:rPr>
        <w:t xml:space="preserve">PEB </w:t>
      </w:r>
    </w:p>
    <w:p w14:paraId="002B2012" w14:textId="24D2CBF2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7158068F" w:rsidR="00777C20" w:rsidRPr="0045276E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AIR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2B71C99C" w14:textId="02992466" w:rsidR="00777C20" w:rsidRPr="0045276E" w:rsidRDefault="0045276E" w:rsidP="00777C20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10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’applique en tant qu’aérateur d’amenée d’air dans des pièces sèches où une bouche d’extraction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(1)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est présente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8D0023B" w14:textId="565C0FC9" w:rsidR="00777C20" w:rsidRPr="0045276E" w:rsidRDefault="0045276E" w:rsidP="00D82249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Contr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ô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le o</w:t>
      </w:r>
      <w:r w:rsidR="00820BA8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ptimal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du flux d’air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(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le système de ventilation commandé à la demande détermine la quantité d’air qui peut pénétrer à l’intérieur) </w:t>
      </w:r>
      <w:r w:rsidR="00777C20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0EF27EE8" w14:textId="7653C37D" w:rsidR="00777C20" w:rsidRPr="0045276E" w:rsidRDefault="0045276E" w:rsidP="00777C20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5276E">
        <w:rPr>
          <w:rFonts w:ascii="Arial" w:hAnsi="Arial" w:cs="Arial"/>
          <w:b w:val="0"/>
          <w:sz w:val="19"/>
          <w:szCs w:val="19"/>
          <w:lang w:val="fr-FR"/>
        </w:rPr>
        <w:t xml:space="preserve"> 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>Permet d’intégrer un clapet anti-retour pour minimaliser la ventilation transv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ersale et les pertes d’énergie. </w:t>
      </w:r>
    </w:p>
    <w:p w14:paraId="07FB4C39" w14:textId="0A0D1175" w:rsidR="001E17AF" w:rsidRPr="0021372A" w:rsidRDefault="008E2680" w:rsidP="00404602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en-US"/>
        </w:rPr>
      </w:pPr>
      <w:r w:rsidRPr="0045276E">
        <w:rPr>
          <w:rFonts w:ascii="Arial" w:hAnsi="Arial" w:cs="Arial"/>
          <w:caps w:val="0"/>
          <w:color w:val="auto"/>
          <w:sz w:val="12"/>
          <w:szCs w:val="12"/>
          <w:vertAlign w:val="superscript"/>
          <w:lang w:val="fr-FR"/>
        </w:rPr>
        <w:tab/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="00777C20" w:rsidRPr="0021372A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="00777C20" w:rsidRPr="0021372A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Syst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è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m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="00777C20" w:rsidRPr="0021372A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a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b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</w:t>
      </w:r>
      <w:r w:rsidR="0045276E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on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c (f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="00777C20" w:rsidRPr="0021372A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7BA566C0" w14:textId="77777777" w:rsidR="00587420" w:rsidRPr="002C40AE" w:rsidRDefault="00587420" w:rsidP="001E17AF">
      <w:pPr>
        <w:pStyle w:val="besteksubtitel"/>
        <w:rPr>
          <w:rFonts w:ascii="Arial" w:hAnsi="Arial" w:cs="Arial"/>
          <w:lang w:val="en-GB"/>
        </w:rPr>
      </w:pPr>
    </w:p>
    <w:p w14:paraId="4EA7D430" w14:textId="543CD3D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 w:rsidR="0045276E">
        <w:rPr>
          <w:rFonts w:ascii="Arial" w:hAnsi="Arial" w:cs="Arial"/>
        </w:rPr>
        <w:t xml:space="preserve"> DE PRESTATION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29CAF1C6" w:rsidR="001E17AF" w:rsidRPr="0021372A" w:rsidRDefault="0045276E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2999DD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U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sz w:val="19"/>
          <w:szCs w:val="19"/>
          <w:lang w:val="fr-FR"/>
        </w:rPr>
        <w:t xml:space="preserve">: </w:t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F62C0F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1,</w:t>
      </w:r>
      <w:r w:rsidR="00820BA8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1E17AF" w:rsidRPr="0021372A">
        <w:rPr>
          <w:rFonts w:cs="Arial"/>
          <w:sz w:val="19"/>
          <w:szCs w:val="19"/>
          <w:lang w:val="fr-FR"/>
        </w:rPr>
        <w:t xml:space="preserve"> W/m²K</w:t>
      </w:r>
    </w:p>
    <w:p w14:paraId="13430A8D" w14:textId="52FDBFBE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21372A">
        <w:rPr>
          <w:rFonts w:cs="Arial"/>
          <w:sz w:val="19"/>
          <w:szCs w:val="19"/>
          <w:lang w:val="fr-FR"/>
        </w:rPr>
        <w:t>0,80</w:t>
      </w:r>
    </w:p>
    <w:p w14:paraId="0DF88E02" w14:textId="7FF20E7E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>position fermée</w:t>
      </w:r>
    </w:p>
    <w:p w14:paraId="136C917C" w14:textId="4BCC8C5C" w:rsidR="001E17AF" w:rsidRPr="0045276E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1E17AF" w:rsidRPr="0045276E">
        <w:rPr>
          <w:rFonts w:cs="Arial"/>
          <w:sz w:val="19"/>
          <w:szCs w:val="19"/>
          <w:lang w:val="fr-FR"/>
        </w:rPr>
        <w:t xml:space="preserve">: </w:t>
      </w:r>
      <w:r w:rsidR="001E17AF" w:rsidRPr="0045276E">
        <w:rPr>
          <w:rFonts w:cs="Arial"/>
          <w:sz w:val="19"/>
          <w:szCs w:val="19"/>
          <w:lang w:val="fr-FR"/>
        </w:rPr>
        <w:tab/>
      </w:r>
      <w:r w:rsidR="00334AF1">
        <w:rPr>
          <w:rFonts w:cs="Arial"/>
          <w:sz w:val="19"/>
          <w:szCs w:val="19"/>
          <w:lang w:val="fr-FR"/>
        </w:rPr>
        <w:t>2</w:t>
      </w:r>
      <w:r w:rsidR="001E17AF" w:rsidRPr="0045276E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45276E">
        <w:rPr>
          <w:rFonts w:cs="Arial"/>
          <w:sz w:val="19"/>
          <w:szCs w:val="19"/>
          <w:lang w:val="fr-FR"/>
        </w:rPr>
        <w:t xml:space="preserve"> Pa </w:t>
      </w:r>
      <w:r w:rsidR="00CD31A0">
        <w:rPr>
          <w:rFonts w:cs="Arial"/>
          <w:sz w:val="19"/>
          <w:szCs w:val="19"/>
          <w:lang w:val="fr-FR"/>
        </w:rPr>
        <w:t>e</w:t>
      </w:r>
      <w:r w:rsidR="001E17AF" w:rsidRPr="0045276E">
        <w:rPr>
          <w:rFonts w:cs="Arial"/>
          <w:sz w:val="19"/>
          <w:szCs w:val="19"/>
          <w:lang w:val="fr-FR"/>
        </w:rPr>
        <w:t xml:space="preserve">n </w:t>
      </w:r>
      <w:r w:rsidR="00CD31A0">
        <w:rPr>
          <w:rFonts w:cs="Arial"/>
          <w:sz w:val="19"/>
          <w:szCs w:val="19"/>
          <w:lang w:val="fr-FR"/>
        </w:rPr>
        <w:t xml:space="preserve">position ouverte </w:t>
      </w:r>
    </w:p>
    <w:p w14:paraId="3B6E74DF" w14:textId="7C1D9C04" w:rsidR="002C40AE" w:rsidRPr="00352F1D" w:rsidRDefault="00CD31A0" w:rsidP="00352F1D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CD31A0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CD31A0">
        <w:rPr>
          <w:rFonts w:cs="Arial"/>
          <w:b/>
          <w:sz w:val="19"/>
          <w:szCs w:val="19"/>
          <w:lang w:val="fr-FR"/>
        </w:rPr>
        <w:t>50 Pa</w:t>
      </w:r>
      <w:r w:rsidR="001E17AF" w:rsidRPr="00CD31A0">
        <w:rPr>
          <w:rFonts w:cs="Arial"/>
          <w:sz w:val="19"/>
          <w:szCs w:val="19"/>
          <w:lang w:val="fr-FR"/>
        </w:rPr>
        <w:t>:</w:t>
      </w:r>
      <w:r w:rsidR="001E17AF" w:rsidRPr="00CD31A0">
        <w:rPr>
          <w:rFonts w:cs="Arial"/>
          <w:sz w:val="19"/>
          <w:szCs w:val="19"/>
          <w:lang w:val="fr-FR"/>
        </w:rPr>
        <w:tab/>
      </w:r>
      <w:r w:rsidR="001E17AF" w:rsidRPr="00CD31A0">
        <w:rPr>
          <w:rFonts w:cs="Arial"/>
          <w:sz w:val="19"/>
          <w:szCs w:val="19"/>
          <w:lang w:val="fr-FR"/>
        </w:rPr>
        <w:tab/>
        <w:t>&lt;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15</w:t>
      </w:r>
      <w:r w:rsidRPr="00CD31A0">
        <w:rPr>
          <w:rFonts w:cs="Arial"/>
          <w:sz w:val="19"/>
          <w:szCs w:val="19"/>
          <w:lang w:val="fr-FR"/>
        </w:rPr>
        <w:t xml:space="preserve"> </w:t>
      </w:r>
      <w:r w:rsidR="001E17AF" w:rsidRPr="00CD31A0">
        <w:rPr>
          <w:rFonts w:cs="Arial"/>
          <w:sz w:val="19"/>
          <w:szCs w:val="19"/>
          <w:lang w:val="fr-FR"/>
        </w:rPr>
        <w:t>% (</w:t>
      </w:r>
      <w:r>
        <w:rPr>
          <w:rFonts w:cs="Arial"/>
          <w:sz w:val="19"/>
          <w:szCs w:val="19"/>
          <w:lang w:val="fr-FR"/>
        </w:rPr>
        <w:t>e</w:t>
      </w:r>
      <w:r w:rsidRPr="0045276E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>position fermée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CD31A0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>
        <w:rPr>
          <w:rFonts w:cs="Arial"/>
          <w:sz w:val="19"/>
          <w:szCs w:val="19"/>
          <w:lang w:val="fr-FR"/>
        </w:rPr>
        <w:t>:</w:t>
      </w:r>
      <w:r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c</w:t>
      </w:r>
      <w:r w:rsidR="001E17AF" w:rsidRPr="00CD31A0">
        <w:rPr>
          <w:rFonts w:cs="Arial"/>
          <w:sz w:val="19"/>
          <w:szCs w:val="19"/>
          <w:lang w:val="fr-FR"/>
        </w:rPr>
        <w:t>lasse 2 (</w:t>
      </w:r>
      <w:r>
        <w:rPr>
          <w:rFonts w:cs="Arial"/>
          <w:sz w:val="19"/>
          <w:szCs w:val="19"/>
          <w:lang w:val="fr-FR"/>
        </w:rPr>
        <w:t xml:space="preserve">si la fenêtre est </w:t>
      </w:r>
      <w:r w:rsidRPr="00A44F03">
        <w:rPr>
          <w:rFonts w:cs="Arial"/>
          <w:sz w:val="19"/>
          <w:szCs w:val="19"/>
          <w:lang w:val="fr-FR"/>
        </w:rPr>
        <w:t>WK2</w:t>
      </w:r>
      <w:r w:rsidR="001E17AF" w:rsidRPr="00CD31A0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CD31A0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CD31A0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1E17AF" w:rsidRPr="00CD31A0">
        <w:rPr>
          <w:rFonts w:cs="Arial"/>
          <w:b/>
          <w:sz w:val="19"/>
          <w:szCs w:val="19"/>
          <w:lang w:val="fr-FR"/>
        </w:rPr>
        <w:t>D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1E17AF" w:rsidRPr="00CD31A0">
        <w:rPr>
          <w:rFonts w:cs="Arial"/>
          <w:b/>
          <w:sz w:val="19"/>
          <w:szCs w:val="19"/>
          <w:lang w:val="fr-FR"/>
        </w:rPr>
        <w:t>(C;C</w:t>
      </w:r>
      <w:r w:rsidR="001E17AF" w:rsidRPr="00CD31A0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1E17AF" w:rsidRPr="00CD31A0">
        <w:rPr>
          <w:rFonts w:cs="Arial"/>
          <w:b/>
          <w:sz w:val="19"/>
          <w:szCs w:val="19"/>
          <w:lang w:val="fr-FR"/>
        </w:rPr>
        <w:t>):</w:t>
      </w:r>
    </w:p>
    <w:p w14:paraId="115EBC0B" w14:textId="743371DC" w:rsidR="001E17AF" w:rsidRPr="002C40AE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="001E17AF" w:rsidRPr="002C40AE">
        <w:rPr>
          <w:rFonts w:cs="Arial"/>
          <w:sz w:val="19"/>
          <w:szCs w:val="19"/>
        </w:rPr>
        <w:t xml:space="preserve">n </w:t>
      </w:r>
      <w:r>
        <w:rPr>
          <w:rFonts w:cs="Arial"/>
          <w:sz w:val="19"/>
          <w:szCs w:val="19"/>
        </w:rPr>
        <w:t xml:space="preserve">position ouverte </w:t>
      </w:r>
      <w:r w:rsidR="001E17AF" w:rsidRPr="002C40AE">
        <w:rPr>
          <w:rFonts w:cs="Arial"/>
          <w:sz w:val="19"/>
          <w:szCs w:val="19"/>
        </w:rPr>
        <w:t>:</w:t>
      </w:r>
      <w:r w:rsidR="001E17AF" w:rsidRPr="002C40AE">
        <w:rPr>
          <w:rFonts w:cs="Arial"/>
          <w:sz w:val="19"/>
          <w:szCs w:val="19"/>
        </w:rPr>
        <w:tab/>
      </w:r>
      <w:r w:rsidR="001E17AF" w:rsidRPr="002C40AE">
        <w:rPr>
          <w:rStyle w:val="bestekwaardenChar"/>
          <w:rFonts w:cs="Arial"/>
          <w:color w:val="auto"/>
          <w:sz w:val="19"/>
          <w:szCs w:val="19"/>
        </w:rPr>
        <w:t>35 (-1;-2)</w:t>
      </w:r>
      <w:r w:rsidR="001E17AF" w:rsidRPr="002C40AE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2814C5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position fermée </w:t>
      </w:r>
      <w:r w:rsidR="001E17AF" w:rsidRPr="002814C5">
        <w:rPr>
          <w:rFonts w:cs="Arial"/>
          <w:sz w:val="19"/>
          <w:szCs w:val="19"/>
        </w:rPr>
        <w:t xml:space="preserve">: </w:t>
      </w:r>
      <w:r w:rsidR="001E17AF" w:rsidRPr="002814C5">
        <w:rPr>
          <w:rFonts w:cs="Arial"/>
          <w:sz w:val="19"/>
          <w:szCs w:val="19"/>
        </w:rPr>
        <w:tab/>
      </w:r>
      <w:r w:rsidR="002C40AE" w:rsidRPr="002814C5">
        <w:rPr>
          <w:rFonts w:cs="Arial"/>
          <w:sz w:val="19"/>
          <w:szCs w:val="19"/>
        </w:rPr>
        <w:t>51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814C5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2814C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2814C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36F4B6A9" w:rsidR="002814C5" w:rsidRPr="00246A2C" w:rsidRDefault="00322D14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Caractéristiques 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655AE440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 q</w:t>
            </w:r>
            <w:r w:rsidR="002814C5"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2AFA046B" w:rsidR="002814C5" w:rsidRPr="00E67A60" w:rsidRDefault="00431329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t>p.a</w:t>
            </w:r>
          </w:p>
        </w:tc>
      </w:tr>
      <w:tr w:rsidR="002814C5" w:rsidRPr="00246A2C" w14:paraId="1FD9B5B8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D967EED" w14:textId="68B9395A" w:rsidR="002814C5" w:rsidRPr="000F6111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</w:t>
            </w:r>
            <w:r w:rsidR="00322D14">
              <w:rPr>
                <w:rFonts w:eastAsia="Arial" w:cs="Arial"/>
                <w:sz w:val="20"/>
                <w:szCs w:val="20"/>
              </w:rPr>
              <w:t>é</w:t>
            </w:r>
            <w:r w:rsidRPr="002814C5">
              <w:rPr>
                <w:rFonts w:eastAsia="Arial" w:cs="Arial"/>
                <w:sz w:val="20"/>
                <w:szCs w:val="20"/>
              </w:rPr>
              <w:t>bit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901746" w14:textId="78DF19A6" w:rsidR="002814C5" w:rsidRPr="00820BA8" w:rsidRDefault="002814C5" w:rsidP="002814C5">
            <w:pPr>
              <w:jc w:val="center"/>
              <w:rPr>
                <w:rFonts w:cs="Arial"/>
                <w:sz w:val="20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69,0 m³/h/m</w:t>
            </w:r>
          </w:p>
        </w:tc>
      </w:tr>
      <w:tr w:rsidR="002814C5" w:rsidRPr="00246A2C" w14:paraId="656241D6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C1AD6F5" w14:textId="60DA09E5" w:rsidR="002814C5" w:rsidRPr="00E214C5" w:rsidRDefault="002814C5" w:rsidP="002814C5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290CA6A8" w14:textId="1C6A7754" w:rsidR="002814C5" w:rsidRPr="00E214C5" w:rsidRDefault="00431329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p.a.</w:t>
            </w:r>
          </w:p>
        </w:tc>
      </w:tr>
      <w:tr w:rsidR="002814C5" w:rsidRPr="00246A2C" w14:paraId="68D3E937" w14:textId="77777777" w:rsidTr="00C86FB6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584A189" w14:textId="4CDC1DE2" w:rsidR="002814C5" w:rsidRPr="002814C5" w:rsidRDefault="002814C5" w:rsidP="002814C5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</w:t>
            </w:r>
            <w:r w:rsidR="00322D14">
              <w:rPr>
                <w:rFonts w:eastAsia="Arial" w:cs="Arial"/>
                <w:sz w:val="20"/>
                <w:szCs w:val="20"/>
              </w:rPr>
              <w:t>sous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58BA208" w14:textId="390FAA3C" w:rsidR="002814C5" w:rsidRPr="00E214C5" w:rsidRDefault="0021372A" w:rsidP="002814C5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0,04 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Autorégulation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7DC561F0" w:rsidR="002814C5" w:rsidRPr="0021372A" w:rsidRDefault="00322D14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p.a.</w:t>
            </w:r>
            <w:r w:rsidR="0021372A" w:rsidRPr="0021372A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21372A" w:rsidRPr="0021372A">
              <w:rPr>
                <w:rFonts w:cs="Arial"/>
                <w:sz w:val="20"/>
                <w:szCs w:val="20"/>
                <w:vertAlign w:val="superscript"/>
                <w:lang w:val="fr-FR"/>
              </w:rPr>
              <w:t>(2)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3F7972E9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21372A">
              <w:rPr>
                <w:rFonts w:cs="Arial"/>
                <w:sz w:val="20"/>
                <w:szCs w:val="20"/>
                <w:lang w:val="fr-FR"/>
              </w:rPr>
              <w:t>0,06</w:t>
            </w:r>
            <w:r w:rsidR="00334AF1">
              <w:rPr>
                <w:rFonts w:cs="Arial"/>
                <w:sz w:val="20"/>
                <w:szCs w:val="20"/>
                <w:lang w:val="fr-FR"/>
              </w:rPr>
              <w:t>6</w:t>
            </w:r>
            <w:r w:rsidRPr="0021372A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4C67C95" w14:textId="12C0ACDD" w:rsidR="0021372A" w:rsidRPr="00C86FB6" w:rsidRDefault="002814C5" w:rsidP="0021372A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  <w:lang w:val="fr-FR"/>
        </w:rPr>
      </w:pP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>(</w:t>
      </w:r>
      <w:r w:rsidR="008C7FCA">
        <w:rPr>
          <w:rFonts w:ascii="Arial" w:hAnsi="Arial" w:cs="Arial"/>
          <w:b w:val="0"/>
          <w:sz w:val="16"/>
          <w:vertAlign w:val="superscript"/>
          <w:lang w:val="fr-FR"/>
        </w:rPr>
        <w:t>2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 xml:space="preserve">) </w:t>
      </w:r>
      <w:r w:rsidRPr="00C86FB6">
        <w:rPr>
          <w:rFonts w:ascii="Arial" w:hAnsi="Arial" w:cs="Arial"/>
          <w:b w:val="0"/>
          <w:sz w:val="16"/>
          <w:vertAlign w:val="superscript"/>
          <w:lang w:val="fr-FR"/>
        </w:rPr>
        <w:tab/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En Belgique les aérateurs d’amenée naturelle d’air dimensionnés sur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>10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Pa </w:t>
      </w:r>
      <w:r w:rsidR="00C86FB6" w:rsidRPr="00C86FB6">
        <w:rPr>
          <w:rFonts w:ascii="Arial" w:hAnsi="Arial" w:cs="Arial"/>
          <w:b w:val="0"/>
          <w:caps w:val="0"/>
          <w:sz w:val="16"/>
          <w:lang w:val="fr-FR"/>
        </w:rPr>
        <w:t>sont validés en tant que grille P3.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t xml:space="preserve"> </w:t>
      </w:r>
      <w:r w:rsidRPr="00C86FB6">
        <w:rPr>
          <w:rFonts w:ascii="Arial" w:hAnsi="Arial" w:cs="Arial"/>
          <w:b w:val="0"/>
          <w:caps w:val="0"/>
          <w:sz w:val="16"/>
          <w:lang w:val="fr-FR"/>
        </w:rPr>
        <w:br/>
      </w:r>
    </w:p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B452F"/>
    <w:rsid w:val="001B7D9B"/>
    <w:rsid w:val="001E17AF"/>
    <w:rsid w:val="0021372A"/>
    <w:rsid w:val="00220651"/>
    <w:rsid w:val="00226FE1"/>
    <w:rsid w:val="00275F53"/>
    <w:rsid w:val="002814C5"/>
    <w:rsid w:val="002C40AE"/>
    <w:rsid w:val="002E522E"/>
    <w:rsid w:val="00305011"/>
    <w:rsid w:val="0031163F"/>
    <w:rsid w:val="00320A28"/>
    <w:rsid w:val="00322D14"/>
    <w:rsid w:val="00334AF1"/>
    <w:rsid w:val="00343AED"/>
    <w:rsid w:val="00352F1D"/>
    <w:rsid w:val="00380D64"/>
    <w:rsid w:val="003968C8"/>
    <w:rsid w:val="003A779E"/>
    <w:rsid w:val="00404602"/>
    <w:rsid w:val="00407742"/>
    <w:rsid w:val="00431329"/>
    <w:rsid w:val="00447D25"/>
    <w:rsid w:val="0045276E"/>
    <w:rsid w:val="004B57BE"/>
    <w:rsid w:val="004C4BE6"/>
    <w:rsid w:val="004C7F17"/>
    <w:rsid w:val="0053502B"/>
    <w:rsid w:val="00547F3D"/>
    <w:rsid w:val="00556085"/>
    <w:rsid w:val="00587420"/>
    <w:rsid w:val="005B15D0"/>
    <w:rsid w:val="005B2457"/>
    <w:rsid w:val="005D4848"/>
    <w:rsid w:val="005F6568"/>
    <w:rsid w:val="006276E3"/>
    <w:rsid w:val="006F5423"/>
    <w:rsid w:val="007362D9"/>
    <w:rsid w:val="00736C3F"/>
    <w:rsid w:val="00764D0E"/>
    <w:rsid w:val="00777C20"/>
    <w:rsid w:val="00790107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8360F"/>
    <w:rsid w:val="00886885"/>
    <w:rsid w:val="00887C82"/>
    <w:rsid w:val="00887CFB"/>
    <w:rsid w:val="008C7FCA"/>
    <w:rsid w:val="008D2956"/>
    <w:rsid w:val="008E2680"/>
    <w:rsid w:val="009308D1"/>
    <w:rsid w:val="00933029"/>
    <w:rsid w:val="00973B86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CF1164"/>
    <w:rsid w:val="00D01E6A"/>
    <w:rsid w:val="00D22E19"/>
    <w:rsid w:val="00D308FA"/>
    <w:rsid w:val="00D41CDC"/>
    <w:rsid w:val="00D45FA5"/>
    <w:rsid w:val="00D51E99"/>
    <w:rsid w:val="00D53DF8"/>
    <w:rsid w:val="00D90C6E"/>
    <w:rsid w:val="00D928EC"/>
    <w:rsid w:val="00DB39C0"/>
    <w:rsid w:val="00E01BED"/>
    <w:rsid w:val="00E33328"/>
    <w:rsid w:val="00EA2543"/>
    <w:rsid w:val="00ED748A"/>
    <w:rsid w:val="00EE175E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97078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7</cp:revision>
  <cp:lastPrinted>2017-12-20T13:29:00Z</cp:lastPrinted>
  <dcterms:created xsi:type="dcterms:W3CDTF">2018-07-02T09:38:00Z</dcterms:created>
  <dcterms:modified xsi:type="dcterms:W3CDTF">2018-07-03T06:29:00Z</dcterms:modified>
</cp:coreProperties>
</file>