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4D825C1B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52B2E62E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2C40AE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2C40AE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4354283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7A456039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2C40AE">
        <w:rPr>
          <w:rFonts w:ascii="Arial" w:hAnsi="Arial" w:cs="Arial"/>
        </w:rPr>
        <w:t xml:space="preserve">productkenmerken </w:t>
      </w:r>
      <w:r w:rsidRPr="002C40AE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289533B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794AE741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Type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thermisch onderbroken, geluiddempende, zelfregelende klepverluchting voor installatie op het raam</w:t>
      </w:r>
    </w:p>
    <w:p w14:paraId="4996AD3C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3480C41E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14:paraId="4AF08D43" w14:textId="36E9149B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S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tandaard uitgerust met akoestisch dempend materiaal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14:paraId="09681F6E" w14:textId="6EDEFBFE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</w:t>
      </w:r>
      <w:r w:rsidR="001E17AF" w:rsidRPr="002C40AE">
        <w:rPr>
          <w:rFonts w:ascii="Arial" w:hAnsi="Arial" w:cs="Arial"/>
          <w:caps w:val="0"/>
          <w:sz w:val="19"/>
          <w:szCs w:val="19"/>
        </w:rPr>
        <w:t>eïntegreerde</w:t>
      </w:r>
      <w:r w:rsidR="00A520F1"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akoestische mousse: geen extra akoestische module naar binnen toe</w:t>
      </w:r>
    </w:p>
    <w:p w14:paraId="2DB0D4B6" w14:textId="4215B665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73DD23A7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2FE86DD" w14:textId="77777777" w:rsidR="002814C5" w:rsidRPr="002C40AE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3988A321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14:paraId="49E6F078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3BA4105F" w14:textId="64873B31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Terugslagwerking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  <w:r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4A31E271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</w:p>
    <w:p w14:paraId="7A83B8E3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5D799327" w14:textId="0E558454" w:rsidR="00E572E4" w:rsidRPr="00E572E4" w:rsidRDefault="00E572E4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01C239A6" w14:textId="77777777" w:rsidR="00E572E4" w:rsidRPr="00E572E4" w:rsidRDefault="00E572E4" w:rsidP="00E572E4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60325EC3" w14:textId="681E0633" w:rsidR="002814C5" w:rsidRPr="00E572E4" w:rsidRDefault="002814C5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,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492F9700" w14:textId="763F7F1D" w:rsidR="002814C5" w:rsidRPr="00E572E4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17C13AF9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B0013D5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7D05C71D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1B4A3BC" w14:textId="0A24AA15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in dezelfde RA</w:t>
      </w:r>
      <w:r w:rsidR="00D14F18">
        <w:rPr>
          <w:rFonts w:ascii="Arial" w:hAnsi="Arial" w:cs="Arial"/>
          <w:b w:val="0"/>
          <w:caps w:val="0"/>
          <w:sz w:val="19"/>
          <w:szCs w:val="19"/>
        </w:rPr>
        <w:t>L-</w:t>
      </w:r>
      <w:bookmarkStart w:id="0" w:name="_GoBack"/>
      <w:bookmarkEnd w:id="0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69FA5B68" w14:textId="27AD884C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D14F18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 </w:t>
      </w:r>
    </w:p>
    <w:p w14:paraId="44918524" w14:textId="77777777" w:rsidR="002814C5" w:rsidRPr="00753ABF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1DAD802F" w14:textId="5EB68EE7" w:rsidR="002814C5" w:rsidRPr="005D4B17" w:rsidRDefault="002814C5" w:rsidP="005D4B1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241B5734" w14:textId="77777777" w:rsidR="002814C5" w:rsidRPr="00753ABF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47ED2E59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117D89B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3ADDAF11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6591E349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8C945A2" w14:textId="77777777" w:rsidR="002814C5" w:rsidRPr="00753ABF" w:rsidRDefault="002814C5" w:rsidP="002814C5">
      <w:pPr>
        <w:pStyle w:val="besteksubtitel"/>
        <w:ind w:left="786"/>
        <w:rPr>
          <w:rFonts w:cs="Arial"/>
          <w:sz w:val="19"/>
          <w:szCs w:val="19"/>
        </w:rPr>
      </w:pPr>
    </w:p>
    <w:p w14:paraId="4C8110B9" w14:textId="77777777" w:rsidR="002814C5" w:rsidRPr="00E572E4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E6B5DE1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7FD3DF4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593EA2D7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52F9ECD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58FFF30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6E1B6E91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2D6DA9C3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631665B2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6D483EEB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7A2B4BC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07FC516A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5CBFD1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2DB8397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0F804373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6A84A60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69271282" w14:textId="1AAFE59A" w:rsidR="00D45FA5" w:rsidRDefault="00D45FA5" w:rsidP="00D45FA5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14:paraId="6907FC8A" w14:textId="77777777" w:rsidR="006728CF" w:rsidRPr="00753ABF" w:rsidRDefault="006728CF" w:rsidP="00D45FA5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14:paraId="7B8DD05C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FD540F2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23E7B355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9E17768" w14:textId="4329567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lastRenderedPageBreak/>
        <w:t>TOEPASSING</w:t>
      </w:r>
    </w:p>
    <w:p w14:paraId="69AEAF7D" w14:textId="77777777" w:rsidR="001E17AF" w:rsidRPr="002C40AE" w:rsidRDefault="001E17AF" w:rsidP="001E17AF">
      <w:pPr>
        <w:pStyle w:val="besteksubtitel"/>
        <w:rPr>
          <w:rFonts w:ascii="Arial" w:hAnsi="Arial" w:cs="Arial"/>
          <w:sz w:val="12"/>
          <w:szCs w:val="12"/>
        </w:rPr>
      </w:pPr>
    </w:p>
    <w:p w14:paraId="6D8F3F06" w14:textId="77777777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>eenzelfde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project gecombineerd worden met Invisivent AIR dankzij gelijkaardige look &amp; feel </w:t>
      </w:r>
    </w:p>
    <w:p w14:paraId="2B71C99C" w14:textId="23D2B0DD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Gedimensioneerd op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10Pa: standaard inzetbaar als toevoerverluchting in droge ruimtes waar er ook een extractiepunt voorzien is </w:t>
      </w:r>
    </w:p>
    <w:p w14:paraId="68D0023B" w14:textId="79431305" w:rsidR="00777C20" w:rsidRPr="002C40AE" w:rsidRDefault="00820BA8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Optimale c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ontrole over de luchtstroom (vraaggestuurd ventilatiesysteem bepaalt hoeveel lucht er naar binnen komt) </w:t>
      </w:r>
    </w:p>
    <w:p w14:paraId="0EF27EE8" w14:textId="77777777" w:rsidR="00777C20" w:rsidRPr="002C40AE" w:rsidRDefault="00777C20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14:paraId="7BA566C0" w14:textId="77777777" w:rsidR="00587420" w:rsidRPr="00D14F18" w:rsidRDefault="00587420" w:rsidP="001E17AF">
      <w:pPr>
        <w:pStyle w:val="besteksubtitel"/>
        <w:rPr>
          <w:rFonts w:ascii="Arial" w:hAnsi="Arial" w:cs="Arial"/>
          <w:lang w:val="nl-NL"/>
        </w:rPr>
      </w:pPr>
    </w:p>
    <w:p w14:paraId="4EA7D430" w14:textId="2E4A838C" w:rsidR="001E17AF" w:rsidRPr="00B12B36" w:rsidRDefault="001E17AF" w:rsidP="001E17AF">
      <w:pPr>
        <w:pStyle w:val="besteksubtitel"/>
        <w:rPr>
          <w:rFonts w:ascii="Arial" w:hAnsi="Arial" w:cs="Arial"/>
          <w:lang w:val="it-IT"/>
        </w:rPr>
      </w:pPr>
      <w:r w:rsidRPr="00B12B36">
        <w:rPr>
          <w:rFonts w:ascii="Arial" w:hAnsi="Arial" w:cs="Arial"/>
          <w:lang w:val="it-IT"/>
        </w:rPr>
        <w:t>prestatieniveau</w:t>
      </w:r>
    </w:p>
    <w:p w14:paraId="17841918" w14:textId="77777777" w:rsidR="001E17AF" w:rsidRPr="00B12B36" w:rsidRDefault="001E17AF" w:rsidP="001E17AF">
      <w:pPr>
        <w:pStyle w:val="besteksubtitel"/>
        <w:rPr>
          <w:rFonts w:ascii="Arial" w:hAnsi="Arial" w:cs="Arial"/>
          <w:lang w:val="it-IT"/>
        </w:rPr>
      </w:pPr>
    </w:p>
    <w:p w14:paraId="41C37786" w14:textId="096374B4" w:rsidR="001E17AF" w:rsidRPr="002C40AE" w:rsidRDefault="001E17AF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2C40AE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2C40AE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2C40AE">
        <w:rPr>
          <w:rStyle w:val="bestektekstChar"/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 xml:space="preserve"> </w:t>
      </w:r>
      <w:r w:rsidRPr="002C40AE">
        <w:rPr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ab/>
      </w:r>
      <w:r w:rsidR="00E572E4">
        <w:rPr>
          <w:rFonts w:ascii="Arial" w:hAnsi="Arial" w:cs="Arial"/>
          <w:sz w:val="19"/>
          <w:szCs w:val="19"/>
        </w:rPr>
        <w:t>J</w:t>
      </w:r>
      <w:r w:rsidR="00820BA8" w:rsidRPr="002C40AE">
        <w:rPr>
          <w:rFonts w:ascii="Arial" w:hAnsi="Arial" w:cs="Arial"/>
          <w:sz w:val="19"/>
          <w:szCs w:val="19"/>
        </w:rPr>
        <w:t>a</w:t>
      </w:r>
      <w:r w:rsidRPr="002C40AE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079FDAE9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U-waarde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="00F62C0F" w:rsidRPr="002C40AE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2C40AE">
        <w:rPr>
          <w:rStyle w:val="bestekwaardenChar"/>
          <w:rFonts w:cs="Arial"/>
          <w:color w:val="auto"/>
          <w:sz w:val="19"/>
          <w:szCs w:val="19"/>
        </w:rPr>
        <w:t>8</w:t>
      </w:r>
      <w:r w:rsidRPr="002C40AE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f-waarde:</w:t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="00F62C0F" w:rsidRPr="002C40AE">
        <w:rPr>
          <w:rFonts w:cs="Arial"/>
          <w:sz w:val="19"/>
          <w:szCs w:val="19"/>
          <w:lang w:val="nl-NL"/>
        </w:rPr>
        <w:t>0,80</w:t>
      </w:r>
    </w:p>
    <w:p w14:paraId="0DF88E02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900</w:t>
      </w:r>
      <w:r w:rsidRPr="002C40AE">
        <w:rPr>
          <w:rFonts w:cs="Arial"/>
          <w:sz w:val="19"/>
          <w:szCs w:val="19"/>
          <w:lang w:val="nl-NL"/>
        </w:rPr>
        <w:t xml:space="preserve"> Pa in gesloten stand</w:t>
      </w:r>
    </w:p>
    <w:p w14:paraId="136C917C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1</w:t>
      </w:r>
      <w:r w:rsidRPr="002C40AE">
        <w:rPr>
          <w:rStyle w:val="bestekwaardenChar"/>
          <w:rFonts w:cs="Arial"/>
          <w:color w:val="auto"/>
          <w:sz w:val="19"/>
          <w:szCs w:val="19"/>
        </w:rPr>
        <w:t>50</w:t>
      </w:r>
      <w:r w:rsidRPr="002C40AE">
        <w:rPr>
          <w:rFonts w:cs="Arial"/>
          <w:sz w:val="19"/>
          <w:szCs w:val="19"/>
          <w:lang w:val="nl-NL"/>
        </w:rPr>
        <w:t xml:space="preserve"> Pa in open stand</w:t>
      </w:r>
    </w:p>
    <w:p w14:paraId="471602B6" w14:textId="396F364F" w:rsidR="001E17A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Lekdebiet bij 50 Pa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&lt;15% (in gesloten toestand)</w:t>
      </w:r>
    </w:p>
    <w:p w14:paraId="3272D097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Inbraakwerendheid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klasse 2 (indien raam WK2 is)</w:t>
      </w:r>
    </w:p>
    <w:p w14:paraId="79B90DD7" w14:textId="77777777" w:rsidR="001E17AF" w:rsidRPr="002C40AE" w:rsidRDefault="001E17AF" w:rsidP="001E17AF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B54DAE7" w14:textId="77777777" w:rsidR="001E17AF" w:rsidRPr="002C40AE" w:rsidRDefault="001E17A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2C40AE">
        <w:rPr>
          <w:rFonts w:cs="Arial"/>
          <w:b/>
          <w:sz w:val="19"/>
          <w:szCs w:val="19"/>
        </w:rPr>
        <w:t>Geluiddemping D</w:t>
      </w:r>
      <w:r w:rsidRPr="002C40AE">
        <w:rPr>
          <w:rFonts w:cs="Arial"/>
          <w:b/>
          <w:sz w:val="19"/>
          <w:szCs w:val="19"/>
          <w:vertAlign w:val="subscript"/>
        </w:rPr>
        <w:t xml:space="preserve">n,e,w </w:t>
      </w:r>
      <w:r w:rsidRPr="002C40AE">
        <w:rPr>
          <w:rFonts w:cs="Arial"/>
          <w:b/>
          <w:sz w:val="19"/>
          <w:szCs w:val="19"/>
        </w:rPr>
        <w:t>(C;C</w:t>
      </w:r>
      <w:r w:rsidRPr="002C40AE">
        <w:rPr>
          <w:rFonts w:cs="Arial"/>
          <w:b/>
          <w:sz w:val="19"/>
          <w:szCs w:val="19"/>
          <w:vertAlign w:val="subscript"/>
        </w:rPr>
        <w:t>tr</w:t>
      </w:r>
      <w:r w:rsidRPr="002C40AE">
        <w:rPr>
          <w:rFonts w:cs="Arial"/>
          <w:b/>
          <w:sz w:val="19"/>
          <w:szCs w:val="19"/>
        </w:rPr>
        <w:t>):</w:t>
      </w:r>
    </w:p>
    <w:p w14:paraId="115EBC0B" w14:textId="77777777" w:rsidR="001E17AF" w:rsidRPr="002C40AE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C40AE">
        <w:rPr>
          <w:rFonts w:cs="Arial"/>
          <w:sz w:val="19"/>
          <w:szCs w:val="19"/>
        </w:rPr>
        <w:t>In geopende toestand:</w:t>
      </w:r>
      <w:r w:rsidRPr="002C40AE">
        <w:rPr>
          <w:rFonts w:cs="Arial"/>
          <w:sz w:val="19"/>
          <w:szCs w:val="19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Pr="002C40AE">
        <w:rPr>
          <w:rFonts w:cs="Arial"/>
          <w:sz w:val="19"/>
          <w:szCs w:val="19"/>
        </w:rPr>
        <w:t xml:space="preserve"> dB</w:t>
      </w:r>
    </w:p>
    <w:p w14:paraId="6956FD84" w14:textId="74350F55" w:rsidR="001E17AF" w:rsidRPr="002814C5" w:rsidRDefault="001E17AF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814C5">
        <w:rPr>
          <w:rFonts w:cs="Arial"/>
          <w:sz w:val="19"/>
          <w:szCs w:val="19"/>
        </w:rPr>
        <w:t xml:space="preserve">In gesloten toestand: </w:t>
      </w:r>
      <w:r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7631AA6E" w:rsidR="002814C5" w:rsidRPr="00246A2C" w:rsidRDefault="006728CF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Debiet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134121" w14:textId="1EA111D3" w:rsidR="002814C5" w:rsidRPr="000F6111" w:rsidRDefault="002814C5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 w:rsidR="006728CF">
              <w:rPr>
                <w:rFonts w:eastAsia="Arial" w:cs="Arial"/>
                <w:sz w:val="20"/>
                <w:szCs w:val="20"/>
              </w:rPr>
              <w:t>Q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 w:rsidR="006728CF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925F947" w14:textId="1AD3F131" w:rsidR="002814C5" w:rsidRPr="00E67A60" w:rsidRDefault="006728CF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6728CF">
              <w:rPr>
                <w:rFonts w:cs="Arial"/>
                <w:sz w:val="20"/>
                <w:szCs w:val="20"/>
              </w:rPr>
              <w:t>3,4 dm³/s/m</w:t>
            </w:r>
          </w:p>
        </w:tc>
      </w:tr>
      <w:tr w:rsidR="002814C5" w:rsidRPr="00246A2C" w14:paraId="1FD9B5B8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D967EED" w14:textId="02FFC558" w:rsidR="002814C5" w:rsidRPr="000F6111" w:rsidRDefault="006728CF" w:rsidP="002814C5">
            <w:pPr>
              <w:rPr>
                <w:rFonts w:eastAsia="Arial"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 xml:space="preserve">Debiet </w:t>
            </w:r>
            <w:r>
              <w:rPr>
                <w:rFonts w:eastAsia="Arial" w:cs="Arial"/>
                <w:sz w:val="20"/>
                <w:szCs w:val="20"/>
              </w:rPr>
              <w:t>Q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</w:t>
            </w:r>
            <w:r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901746" w14:textId="7C4ABC6C" w:rsidR="002814C5" w:rsidRPr="00820BA8" w:rsidRDefault="006728CF" w:rsidP="002814C5">
            <w:pPr>
              <w:jc w:val="center"/>
              <w:rPr>
                <w:rFonts w:cs="Arial"/>
                <w:sz w:val="20"/>
                <w:szCs w:val="20"/>
              </w:rPr>
            </w:pPr>
            <w:r w:rsidRPr="006728CF">
              <w:rPr>
                <w:rFonts w:cs="Arial"/>
                <w:sz w:val="20"/>
                <w:szCs w:val="20"/>
              </w:rPr>
              <w:t>12,2 m³/h/m</w:t>
            </w:r>
          </w:p>
        </w:tc>
      </w:tr>
      <w:tr w:rsidR="002814C5" w:rsidRPr="00246A2C" w14:paraId="30FD77BE" w14:textId="77777777" w:rsidTr="00AE7A0B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A6DACB" w14:textId="3C38FF3B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464CCE" w14:textId="0F9F090A" w:rsidR="002814C5" w:rsidRPr="00E572E4" w:rsidRDefault="00114AD6" w:rsidP="002814C5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2814C5" w:rsidRPr="00246A2C" w14:paraId="1E3E6C9F" w14:textId="77777777" w:rsidTr="001D3D30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6E78613" w14:textId="246B36B4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AE13E7" w14:textId="23C11786" w:rsidR="002814C5" w:rsidRPr="00E214C5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E572E4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49488DF0" w14:textId="737FC69C" w:rsidR="001E17AF" w:rsidRPr="002C40AE" w:rsidRDefault="001E17AF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</w:p>
    <w:sectPr w:rsidR="001E17AF" w:rsidRPr="002C40AE" w:rsidSect="00C24DE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14AD6"/>
    <w:rsid w:val="001B452F"/>
    <w:rsid w:val="001B7D9B"/>
    <w:rsid w:val="001E17AF"/>
    <w:rsid w:val="00226FE1"/>
    <w:rsid w:val="00275F53"/>
    <w:rsid w:val="002814C5"/>
    <w:rsid w:val="002C40AE"/>
    <w:rsid w:val="002E522E"/>
    <w:rsid w:val="00305011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B57BE"/>
    <w:rsid w:val="004C4BE6"/>
    <w:rsid w:val="004C7F17"/>
    <w:rsid w:val="004E20AA"/>
    <w:rsid w:val="0057449C"/>
    <w:rsid w:val="00587420"/>
    <w:rsid w:val="005B15D0"/>
    <w:rsid w:val="005B2457"/>
    <w:rsid w:val="005D4B17"/>
    <w:rsid w:val="005F6568"/>
    <w:rsid w:val="006728CF"/>
    <w:rsid w:val="006F5423"/>
    <w:rsid w:val="007362D9"/>
    <w:rsid w:val="00764D0E"/>
    <w:rsid w:val="00777C20"/>
    <w:rsid w:val="00797741"/>
    <w:rsid w:val="00797C34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8E2680"/>
    <w:rsid w:val="009308D1"/>
    <w:rsid w:val="00933029"/>
    <w:rsid w:val="00974298"/>
    <w:rsid w:val="009C7907"/>
    <w:rsid w:val="00A42757"/>
    <w:rsid w:val="00A520F1"/>
    <w:rsid w:val="00AF38C8"/>
    <w:rsid w:val="00B12B36"/>
    <w:rsid w:val="00B14A53"/>
    <w:rsid w:val="00B67C32"/>
    <w:rsid w:val="00B944CE"/>
    <w:rsid w:val="00BB57C7"/>
    <w:rsid w:val="00BD5E3C"/>
    <w:rsid w:val="00BE2CC0"/>
    <w:rsid w:val="00C24DE5"/>
    <w:rsid w:val="00C83636"/>
    <w:rsid w:val="00C97560"/>
    <w:rsid w:val="00CA705D"/>
    <w:rsid w:val="00CC368E"/>
    <w:rsid w:val="00D01E6A"/>
    <w:rsid w:val="00D14F18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572E4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5341-8B0D-4882-B5D2-3487CFD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22</cp:revision>
  <cp:lastPrinted>2017-12-20T13:29:00Z</cp:lastPrinted>
  <dcterms:created xsi:type="dcterms:W3CDTF">2017-12-14T07:23:00Z</dcterms:created>
  <dcterms:modified xsi:type="dcterms:W3CDTF">2020-03-17T10:25:00Z</dcterms:modified>
</cp:coreProperties>
</file>